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24E4E6C" w:rsidR="00176F7E" w:rsidRPr="00CA6AA9" w:rsidRDefault="00176F7E" w:rsidP="00176F7E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 w:rsidRPr="00CA6AA9">
        <w:rPr>
          <w:rFonts w:cs="Arial"/>
          <w:b/>
          <w:sz w:val="22"/>
          <w:szCs w:val="22"/>
          <w:lang w:val="en-US"/>
        </w:rPr>
        <w:t>3GPP TSG-SA3 Meeting #12</w:t>
      </w:r>
      <w:r w:rsidR="00215E73" w:rsidRPr="00CA6AA9">
        <w:rPr>
          <w:rFonts w:cs="Arial"/>
          <w:b/>
          <w:sz w:val="22"/>
          <w:szCs w:val="22"/>
          <w:lang w:val="en-US"/>
        </w:rPr>
        <w:t>5</w:t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="00CA6AA9">
        <w:rPr>
          <w:rFonts w:cs="Arial"/>
          <w:b/>
          <w:sz w:val="22"/>
          <w:szCs w:val="22"/>
          <w:lang w:val="en-US"/>
        </w:rPr>
        <w:tab/>
      </w:r>
      <w:r w:rsidRPr="00CA6AA9">
        <w:rPr>
          <w:rFonts w:cs="Arial"/>
          <w:b/>
          <w:sz w:val="22"/>
          <w:szCs w:val="22"/>
          <w:lang w:val="en-US"/>
        </w:rPr>
        <w:tab/>
      </w:r>
      <w:r w:rsidR="007F78D6" w:rsidRPr="00CA6AA9">
        <w:rPr>
          <w:rFonts w:cs="Arial"/>
          <w:b/>
          <w:sz w:val="22"/>
          <w:szCs w:val="22"/>
          <w:lang w:val="en-US"/>
        </w:rPr>
        <w:t>S3-</w:t>
      </w:r>
      <w:r w:rsidR="00954FEB" w:rsidRPr="00CA6AA9">
        <w:rPr>
          <w:rFonts w:cs="Arial"/>
          <w:b/>
          <w:sz w:val="22"/>
          <w:szCs w:val="22"/>
          <w:lang w:val="en-US"/>
        </w:rPr>
        <w:t>254649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4B44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2281F">
        <w:rPr>
          <w:rFonts w:ascii="Arial" w:hAnsi="Arial" w:cs="Arial"/>
          <w:b/>
          <w:bCs/>
          <w:lang w:val="en-US"/>
        </w:rPr>
        <w:t>Ericsson</w:t>
      </w:r>
    </w:p>
    <w:p w14:paraId="65CE4E4B" w14:textId="64391E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16A52">
        <w:rPr>
          <w:rFonts w:ascii="Arial" w:hAnsi="Arial" w:cs="Arial"/>
          <w:b/>
          <w:bCs/>
          <w:lang w:val="en-US"/>
        </w:rPr>
        <w:t xml:space="preserve">Pseudo-CR on </w:t>
      </w:r>
      <w:r w:rsidR="00B2281F" w:rsidRPr="00616A52">
        <w:rPr>
          <w:rFonts w:ascii="Arial" w:hAnsi="Arial" w:cs="Arial"/>
          <w:b/>
          <w:bCs/>
          <w:lang w:val="en-US"/>
        </w:rPr>
        <w:t>Security Area: UE to Core Network security, security anchor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DF0A1E" w:rsidR="0051688C" w:rsidRPr="00222DC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22DC8">
        <w:rPr>
          <w:rFonts w:ascii="Arial" w:hAnsi="Arial" w:cs="Arial"/>
          <w:b/>
          <w:bCs/>
          <w:lang w:val="en-US"/>
        </w:rPr>
        <w:t>Agenda item:</w:t>
      </w:r>
      <w:r w:rsidRPr="00222DC8">
        <w:rPr>
          <w:rFonts w:ascii="Arial" w:hAnsi="Arial" w:cs="Arial"/>
          <w:b/>
          <w:bCs/>
          <w:lang w:val="en-US"/>
        </w:rPr>
        <w:tab/>
      </w:r>
      <w:r w:rsidR="00450B11" w:rsidRPr="00222DC8">
        <w:rPr>
          <w:rFonts w:ascii="Arial" w:hAnsi="Arial" w:cs="Arial"/>
          <w:b/>
          <w:bCs/>
          <w:lang w:val="en-US"/>
        </w:rPr>
        <w:t>5</w:t>
      </w:r>
      <w:r w:rsidRPr="00222DC8">
        <w:rPr>
          <w:rFonts w:ascii="Arial" w:hAnsi="Arial" w:cs="Arial"/>
          <w:b/>
          <w:bCs/>
          <w:lang w:val="en-US"/>
        </w:rPr>
        <w:t>.</w:t>
      </w:r>
      <w:r w:rsidR="00450B11" w:rsidRPr="00222DC8">
        <w:rPr>
          <w:rFonts w:ascii="Arial" w:hAnsi="Arial" w:cs="Arial"/>
          <w:b/>
          <w:bCs/>
          <w:lang w:val="en-US"/>
        </w:rPr>
        <w:t>3.1</w:t>
      </w:r>
    </w:p>
    <w:p w14:paraId="369E83CA" w14:textId="53BB9A7D" w:rsidR="00C93D83" w:rsidRPr="0074471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4471C">
        <w:rPr>
          <w:rFonts w:ascii="Arial" w:hAnsi="Arial" w:cs="Arial"/>
          <w:b/>
          <w:bCs/>
          <w:lang w:val="en-US"/>
        </w:rPr>
        <w:t>Spec:</w:t>
      </w:r>
      <w:r w:rsidRPr="0074471C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4471C">
        <w:rPr>
          <w:rFonts w:ascii="Arial" w:hAnsi="Arial" w:cs="Arial"/>
          <w:b/>
          <w:bCs/>
          <w:lang w:val="en-US"/>
        </w:rPr>
        <w:t>TR</w:t>
      </w:r>
      <w:r w:rsidRPr="0074471C">
        <w:rPr>
          <w:rFonts w:ascii="Arial" w:hAnsi="Arial" w:cs="Arial"/>
          <w:b/>
          <w:bCs/>
          <w:lang w:val="en-US"/>
        </w:rPr>
        <w:t xml:space="preserve"> </w:t>
      </w:r>
      <w:r w:rsidR="006D074D" w:rsidRPr="0074471C">
        <w:rPr>
          <w:rFonts w:ascii="Arial" w:hAnsi="Arial" w:cs="Arial"/>
          <w:b/>
          <w:bCs/>
          <w:lang w:val="en-US"/>
        </w:rPr>
        <w:t>33.801-01</w:t>
      </w:r>
    </w:p>
    <w:p w14:paraId="32E76F63" w14:textId="650BDD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7341D">
        <w:rPr>
          <w:rFonts w:ascii="Arial" w:hAnsi="Arial" w:cs="Arial"/>
          <w:b/>
          <w:bCs/>
          <w:lang w:val="en-US"/>
        </w:rPr>
        <w:t>0.1.0</w:t>
      </w:r>
    </w:p>
    <w:p w14:paraId="09C0AB02" w14:textId="2284F9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4471C" w:rsidRPr="0074471C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E736DB" w14:textId="1320189C" w:rsidR="00671BAA" w:rsidRDefault="002F0C07">
      <w:pPr>
        <w:rPr>
          <w:lang w:val="en-US"/>
        </w:rPr>
      </w:pPr>
      <w:r>
        <w:rPr>
          <w:lang w:val="en-US"/>
        </w:rPr>
        <w:t>There is a need for a security anchor function</w:t>
      </w:r>
      <w:r w:rsidR="00097C45">
        <w:rPr>
          <w:lang w:val="en-US"/>
        </w:rPr>
        <w:t>ality</w:t>
      </w:r>
      <w:r>
        <w:rPr>
          <w:lang w:val="en-US"/>
        </w:rPr>
        <w:t xml:space="preserve"> hosting a security anchor key </w:t>
      </w:r>
      <w:r w:rsidR="0071233E">
        <w:rPr>
          <w:lang w:val="en-US"/>
        </w:rPr>
        <w:t>(SAK)</w:t>
      </w:r>
      <w:r w:rsidR="00EA0D09">
        <w:rPr>
          <w:lang w:val="en-US"/>
        </w:rPr>
        <w:t xml:space="preserve"> </w:t>
      </w:r>
      <w:r>
        <w:rPr>
          <w:lang w:val="en-US"/>
        </w:rPr>
        <w:t>in the serving network</w:t>
      </w:r>
      <w:r w:rsidR="00E7574D">
        <w:rPr>
          <w:lang w:val="en-US"/>
        </w:rPr>
        <w:t xml:space="preserve"> </w:t>
      </w:r>
      <w:r w:rsidR="0071233E">
        <w:rPr>
          <w:lang w:val="en-US"/>
        </w:rPr>
        <w:t>(SN)</w:t>
      </w:r>
      <w:r>
        <w:rPr>
          <w:lang w:val="en-US"/>
        </w:rPr>
        <w:t>. Th</w:t>
      </w:r>
      <w:r w:rsidR="0071233E">
        <w:rPr>
          <w:lang w:val="en-US"/>
        </w:rPr>
        <w:t>e</w:t>
      </w:r>
      <w:r>
        <w:rPr>
          <w:lang w:val="en-US"/>
        </w:rPr>
        <w:t xml:space="preserve"> (SAK) </w:t>
      </w:r>
      <w:r w:rsidR="0071233E">
        <w:rPr>
          <w:lang w:val="en-US"/>
        </w:rPr>
        <w:t xml:space="preserve">is a UE specific key based on which all other serving network keys are derived both in the Core Network and the RAN. Since the key hierarchy is </w:t>
      </w:r>
      <w:r w:rsidR="00671BAA">
        <w:rPr>
          <w:lang w:val="en-US"/>
        </w:rPr>
        <w:t xml:space="preserve">still undefined </w:t>
      </w:r>
      <w:r w:rsidR="002F59E1">
        <w:rPr>
          <w:lang w:val="en-US"/>
        </w:rPr>
        <w:t xml:space="preserve">the security assumptions refrain from stating any </w:t>
      </w:r>
      <w:r w:rsidR="008164A9">
        <w:rPr>
          <w:lang w:val="en-US"/>
        </w:rPr>
        <w:t>specific key hierarchy between the SAK and lower level keys</w:t>
      </w:r>
      <w:r w:rsidR="00EA0D09">
        <w:rPr>
          <w:lang w:val="en-US"/>
        </w:rPr>
        <w:t>.</w:t>
      </w:r>
      <w:r w:rsidR="00671BAA">
        <w:rPr>
          <w:lang w:val="en-US"/>
        </w:rPr>
        <w:t xml:space="preserve"> </w:t>
      </w:r>
    </w:p>
    <w:p w14:paraId="7C96DF49" w14:textId="77777777" w:rsidR="004721D0" w:rsidRDefault="004721D0">
      <w:pPr>
        <w:rPr>
          <w:lang w:val="en-US"/>
        </w:rPr>
      </w:pPr>
      <w:r>
        <w:rPr>
          <w:lang w:val="en-US"/>
        </w:rPr>
        <w:t>T</w:t>
      </w:r>
      <w:r w:rsidR="00671BAA">
        <w:rPr>
          <w:lang w:val="en-US"/>
        </w:rPr>
        <w:t xml:space="preserve">he SAK is assumed to be generated by </w:t>
      </w:r>
      <w:r w:rsidR="00C9416C">
        <w:rPr>
          <w:lang w:val="en-US"/>
        </w:rPr>
        <w:t xml:space="preserve">primary authentication and provided by the Home Network (HN) to the SN. </w:t>
      </w:r>
    </w:p>
    <w:p w14:paraId="41D7AC78" w14:textId="053A534B" w:rsidR="00C93D83" w:rsidRDefault="004721D0">
      <w:pPr>
        <w:rPr>
          <w:lang w:val="en-US"/>
        </w:rPr>
      </w:pPr>
      <w:r>
        <w:rPr>
          <w:lang w:val="en-US"/>
        </w:rPr>
        <w:t>The document proposes the security anchor function</w:t>
      </w:r>
      <w:r w:rsidR="00FB6E2A">
        <w:rPr>
          <w:lang w:val="en-US"/>
        </w:rPr>
        <w:t>ality</w:t>
      </w:r>
      <w:r>
        <w:rPr>
          <w:lang w:val="en-US"/>
        </w:rPr>
        <w:t xml:space="preserve"> can be the SEAF as in 5GC.</w:t>
      </w:r>
      <w:r w:rsidR="00EE3D34">
        <w:rPr>
          <w:lang w:val="en-US"/>
        </w:rPr>
        <w:t xml:space="preserve"> </w:t>
      </w:r>
      <w:r>
        <w:rPr>
          <w:lang w:val="en-US"/>
        </w:rPr>
        <w:t>However</w:t>
      </w:r>
      <w:r w:rsidR="00EE3D34">
        <w:rPr>
          <w:lang w:val="en-US"/>
        </w:rPr>
        <w:t>,</w:t>
      </w:r>
      <w:r>
        <w:rPr>
          <w:lang w:val="en-US"/>
        </w:rPr>
        <w:t xml:space="preserve"> since the system architecture </w:t>
      </w:r>
      <w:r w:rsidR="00203938">
        <w:rPr>
          <w:lang w:val="en-US"/>
        </w:rPr>
        <w:t>is still under study in TR 23.</w:t>
      </w:r>
      <w:r w:rsidR="00FE1D1E">
        <w:rPr>
          <w:lang w:val="en-US"/>
        </w:rPr>
        <w:t xml:space="preserve">801-01 </w:t>
      </w:r>
      <w:r w:rsidR="00362E3C">
        <w:rPr>
          <w:lang w:val="en-US"/>
        </w:rPr>
        <w:t xml:space="preserve">the assumptions cannot provide </w:t>
      </w:r>
      <w:r w:rsidR="005F060A">
        <w:rPr>
          <w:lang w:val="en-US"/>
        </w:rPr>
        <w:t xml:space="preserve">any details on whether the SEAF is a separate NF or collocated with the 6G AMF or </w:t>
      </w:r>
      <w:r w:rsidR="00ED7438">
        <w:rPr>
          <w:lang w:val="en-US"/>
        </w:rPr>
        <w:t xml:space="preserve">details on how the SEAF manages the SAK.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E7D90F" w14:textId="77777777" w:rsidR="00E00827" w:rsidRDefault="00E00827" w:rsidP="00E00827">
      <w:pPr>
        <w:pStyle w:val="Heading2"/>
      </w:pPr>
      <w:bookmarkStart w:id="0" w:name="_Toc212013898"/>
      <w:r>
        <w:t>5.1</w:t>
      </w:r>
      <w:r w:rsidRPr="00235394">
        <w:tab/>
      </w:r>
      <w:r>
        <w:t xml:space="preserve">Security area #1: </w:t>
      </w:r>
      <w:commentRangeStart w:id="1"/>
      <w:r w:rsidRPr="002B6B1A">
        <w:rPr>
          <w:highlight w:val="yellow"/>
        </w:rPr>
        <w:t>UE to Core Network Security</w:t>
      </w:r>
      <w:bookmarkEnd w:id="0"/>
      <w:commentRangeEnd w:id="1"/>
      <w:r w:rsidR="001F4B1E">
        <w:rPr>
          <w:rStyle w:val="CommentReference"/>
          <w:rFonts w:ascii="Times New Roman" w:hAnsi="Times New Roman"/>
        </w:rPr>
        <w:commentReference w:id="1"/>
      </w:r>
    </w:p>
    <w:p w14:paraId="557EEF43" w14:textId="77777777" w:rsidR="00E00827" w:rsidRDefault="00E00827" w:rsidP="00E00827">
      <w:pPr>
        <w:pStyle w:val="Heading3"/>
      </w:pPr>
      <w:bookmarkStart w:id="2" w:name="_Toc212013899"/>
      <w:r>
        <w:rPr>
          <w:lang w:eastAsia="zh-CN"/>
        </w:rPr>
        <w:t>5</w:t>
      </w:r>
      <w:r w:rsidRPr="00235394">
        <w:t>.</w:t>
      </w:r>
      <w:r>
        <w:t>1.1</w:t>
      </w:r>
      <w:r w:rsidRPr="00235394">
        <w:tab/>
      </w:r>
      <w:r>
        <w:t>Introduction</w:t>
      </w:r>
      <w:bookmarkEnd w:id="2"/>
      <w:r>
        <w:t xml:space="preserve"> </w:t>
      </w:r>
    </w:p>
    <w:p w14:paraId="01ADBCE1" w14:textId="77777777" w:rsidR="00E00827" w:rsidRDefault="00E00827" w:rsidP="00E00827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0133A78F" w14:textId="77777777" w:rsidR="00E00827" w:rsidRDefault="00E00827" w:rsidP="00E00827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  <w:bookmarkStart w:id="3" w:name="_Hlk211583708"/>
    </w:p>
    <w:p w14:paraId="35AFC5AF" w14:textId="77777777" w:rsidR="00E00827" w:rsidRDefault="00E00827" w:rsidP="00E00827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bookmarkEnd w:id="3"/>
    <w:p w14:paraId="333FA5E8" w14:textId="77777777" w:rsidR="00E00827" w:rsidRDefault="00E00827" w:rsidP="00E00827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2BCC8C20" w14:textId="77777777" w:rsidR="00E00827" w:rsidRDefault="00E00827" w:rsidP="00E00827">
      <w:pPr>
        <w:pStyle w:val="B1"/>
      </w:pPr>
      <w:r>
        <w:t xml:space="preserve">- NAS Security context management, including mobility </w:t>
      </w:r>
    </w:p>
    <w:p w14:paraId="61286F1B" w14:textId="77777777" w:rsidR="00E00827" w:rsidRDefault="00E00827" w:rsidP="00E00827">
      <w:pPr>
        <w:pStyle w:val="B1"/>
      </w:pPr>
      <w:r>
        <w:t>- Interworking between 6GS and 5GS</w:t>
      </w:r>
    </w:p>
    <w:p w14:paraId="673B4396" w14:textId="77777777" w:rsidR="00E00827" w:rsidRDefault="00E00827" w:rsidP="00E00827">
      <w:pPr>
        <w:pStyle w:val="NO"/>
      </w:pPr>
      <w:bookmarkStart w:id="4" w:name="_Hlk211496170"/>
      <w:r>
        <w:t>NOTE: Mobility aspects that are excluded in the RAN security area (i.e., mobility aspects that affect the core network security context) are included here.</w:t>
      </w:r>
      <w:bookmarkEnd w:id="4"/>
    </w:p>
    <w:p w14:paraId="679CB718" w14:textId="77777777" w:rsidR="00E00827" w:rsidRDefault="00E00827" w:rsidP="00E00827">
      <w:pPr>
        <w:pStyle w:val="EditorsNote"/>
      </w:pPr>
      <w:r>
        <w:t xml:space="preserve"> Editor’s Note: Other aspects are FFS.</w:t>
      </w:r>
    </w:p>
    <w:p w14:paraId="0228F940" w14:textId="77777777" w:rsidR="00E00827" w:rsidRDefault="00E00827" w:rsidP="00E00827">
      <w:pPr>
        <w:pStyle w:val="Heading3"/>
      </w:pPr>
      <w:bookmarkStart w:id="5" w:name="_Toc212013900"/>
      <w:r>
        <w:rPr>
          <w:lang w:eastAsia="zh-CN"/>
        </w:rPr>
        <w:t>5</w:t>
      </w:r>
      <w:r w:rsidRPr="00235394">
        <w:t>.</w:t>
      </w:r>
      <w:r>
        <w:t>1.2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5"/>
    </w:p>
    <w:p w14:paraId="78EEC471" w14:textId="77777777" w:rsidR="00E00827" w:rsidRDefault="00E00827" w:rsidP="00E00827">
      <w:pPr>
        <w:pStyle w:val="EditorsNote"/>
        <w:rPr>
          <w:ins w:id="6" w:author="Author"/>
          <w:lang w:eastAsia="zh-CN"/>
        </w:rPr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0099A54F" w14:textId="77777777" w:rsidR="00F80559" w:rsidRDefault="00F80559" w:rsidP="00F80559">
      <w:pPr>
        <w:pStyle w:val="Heading4"/>
        <w:rPr>
          <w:ins w:id="7" w:author="Author"/>
        </w:rPr>
      </w:pPr>
      <w:ins w:id="8" w:author="Author">
        <w:r w:rsidRPr="00991859">
          <w:rPr>
            <w:highlight w:val="yellow"/>
          </w:rPr>
          <w:lastRenderedPageBreak/>
          <w:t>5.1.2.1</w:t>
        </w:r>
        <w:r>
          <w:tab/>
          <w:t>General</w:t>
        </w:r>
      </w:ins>
    </w:p>
    <w:p w14:paraId="216769CB" w14:textId="77777777" w:rsidR="00F80559" w:rsidRDefault="00F80559" w:rsidP="00F80559">
      <w:pPr>
        <w:rPr>
          <w:ins w:id="9" w:author="Author"/>
        </w:rPr>
      </w:pPr>
      <w:ins w:id="10" w:author="Author">
        <w:r>
          <w:t xml:space="preserve">This clause describes the security assumptions for related to the security area </w:t>
        </w:r>
        <w:commentRangeStart w:id="11"/>
        <w:r>
          <w:t>"</w:t>
        </w:r>
        <w:r w:rsidRPr="00BE38EB">
          <w:rPr>
            <w:highlight w:val="yellow"/>
          </w:rPr>
          <w:t>UE to Core Network security"</w:t>
        </w:r>
        <w:commentRangeEnd w:id="11"/>
        <w:r>
          <w:rPr>
            <w:rStyle w:val="CommentReference"/>
          </w:rPr>
          <w:commentReference w:id="11"/>
        </w:r>
      </w:ins>
    </w:p>
    <w:p w14:paraId="17525D07" w14:textId="77777777" w:rsidR="00F80559" w:rsidRDefault="00F80559" w:rsidP="00F80559">
      <w:pPr>
        <w:pStyle w:val="Heading4"/>
        <w:rPr>
          <w:ins w:id="12" w:author="Author"/>
        </w:rPr>
      </w:pPr>
      <w:ins w:id="13" w:author="Author">
        <w:r w:rsidRPr="00616A52">
          <w:rPr>
            <w:highlight w:val="yellow"/>
          </w:rPr>
          <w:t>5.1.2.X</w:t>
        </w:r>
        <w:r>
          <w:tab/>
          <w:t xml:space="preserve">Security Anchor Function in the Serving Network </w:t>
        </w:r>
      </w:ins>
    </w:p>
    <w:p w14:paraId="4DC79113" w14:textId="77777777" w:rsidR="00F80559" w:rsidRDefault="00F80559" w:rsidP="00F80559">
      <w:pPr>
        <w:rPr>
          <w:ins w:id="14" w:author="Author"/>
          <w:lang w:val="en-US"/>
        </w:rPr>
      </w:pPr>
      <w:ins w:id="15" w:author="Author">
        <w:r>
          <w:t xml:space="preserve">The security anchor functionality in the Serving Network (SN) hosts the security anchor key (SAK) </w:t>
        </w:r>
        <w:r>
          <w:rPr>
            <w:lang w:val="en-US"/>
          </w:rPr>
          <w:t>generated by primary authentication and provided by the Home Network (HN) to the SN</w:t>
        </w:r>
        <w: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hor" w:initials="A">
    <w:p w14:paraId="10C30C4A" w14:textId="77777777" w:rsidR="001F4B1E" w:rsidRDefault="001F4B1E" w:rsidP="001F4B1E">
      <w:pPr>
        <w:pStyle w:val="CommentText"/>
      </w:pPr>
      <w:r>
        <w:rPr>
          <w:rStyle w:val="CommentReference"/>
        </w:rPr>
        <w:annotationRef/>
      </w:r>
      <w:r>
        <w:t>Proposal was to move this Security anchor key assumption to the sec area, security architecture ?</w:t>
      </w:r>
    </w:p>
  </w:comment>
  <w:comment w:id="11" w:author="Author" w:initials="A">
    <w:p w14:paraId="7C155895" w14:textId="77777777" w:rsidR="00F80559" w:rsidRDefault="00F80559" w:rsidP="00F80559">
      <w:pPr>
        <w:pStyle w:val="CommentText"/>
      </w:pPr>
      <w:r>
        <w:rPr>
          <w:rStyle w:val="CommentReference"/>
        </w:rPr>
        <w:annotationRef/>
      </w:r>
      <w:r>
        <w:t>Proposal was to move this Security anchor key assumption to the sec area, security architecture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0C30C4A" w15:done="0"/>
  <w15:commentEx w15:paraId="7C1558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C30C4A" w16cid:durableId="1E5C5098"/>
  <w16cid:commentId w16cid:paraId="7C155895" w16cid:durableId="2199A2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7396F" w14:textId="77777777" w:rsidR="00B01F36" w:rsidRDefault="00B01F36">
      <w:r>
        <w:separator/>
      </w:r>
    </w:p>
  </w:endnote>
  <w:endnote w:type="continuationSeparator" w:id="0">
    <w:p w14:paraId="785A5E1A" w14:textId="77777777" w:rsidR="00B01F36" w:rsidRDefault="00B0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3B218" w14:textId="77777777" w:rsidR="00B01F36" w:rsidRDefault="00B01F36">
      <w:r>
        <w:separator/>
      </w:r>
    </w:p>
  </w:footnote>
  <w:footnote w:type="continuationSeparator" w:id="0">
    <w:p w14:paraId="6233C5BE" w14:textId="77777777" w:rsidR="00B01F36" w:rsidRDefault="00B0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399"/>
    <w:rsid w:val="000346F2"/>
    <w:rsid w:val="00051E43"/>
    <w:rsid w:val="000754C7"/>
    <w:rsid w:val="00097C45"/>
    <w:rsid w:val="000B59EB"/>
    <w:rsid w:val="000B75F1"/>
    <w:rsid w:val="000D3B62"/>
    <w:rsid w:val="0010504F"/>
    <w:rsid w:val="00125367"/>
    <w:rsid w:val="00141EBC"/>
    <w:rsid w:val="00147017"/>
    <w:rsid w:val="001604A8"/>
    <w:rsid w:val="00176F7E"/>
    <w:rsid w:val="00181B35"/>
    <w:rsid w:val="001B093A"/>
    <w:rsid w:val="001C5CF1"/>
    <w:rsid w:val="001E105E"/>
    <w:rsid w:val="001E6CA2"/>
    <w:rsid w:val="001F1AE4"/>
    <w:rsid w:val="001F4B1E"/>
    <w:rsid w:val="002000EF"/>
    <w:rsid w:val="002023A8"/>
    <w:rsid w:val="00203938"/>
    <w:rsid w:val="002042CE"/>
    <w:rsid w:val="00210659"/>
    <w:rsid w:val="00214DF0"/>
    <w:rsid w:val="00215E73"/>
    <w:rsid w:val="00222DC8"/>
    <w:rsid w:val="0022330A"/>
    <w:rsid w:val="0024498C"/>
    <w:rsid w:val="002474B7"/>
    <w:rsid w:val="00262690"/>
    <w:rsid w:val="00266561"/>
    <w:rsid w:val="00270C93"/>
    <w:rsid w:val="0027341D"/>
    <w:rsid w:val="00287C53"/>
    <w:rsid w:val="00290C6E"/>
    <w:rsid w:val="00296041"/>
    <w:rsid w:val="00296CA7"/>
    <w:rsid w:val="002A2F30"/>
    <w:rsid w:val="002B6B1A"/>
    <w:rsid w:val="002C7896"/>
    <w:rsid w:val="002F0C07"/>
    <w:rsid w:val="002F59E1"/>
    <w:rsid w:val="003035F6"/>
    <w:rsid w:val="0032150F"/>
    <w:rsid w:val="00332038"/>
    <w:rsid w:val="00332040"/>
    <w:rsid w:val="003420EE"/>
    <w:rsid w:val="00345DB3"/>
    <w:rsid w:val="00355D75"/>
    <w:rsid w:val="00362E3C"/>
    <w:rsid w:val="003716F2"/>
    <w:rsid w:val="003946F0"/>
    <w:rsid w:val="003B6E71"/>
    <w:rsid w:val="003D76C7"/>
    <w:rsid w:val="004054C1"/>
    <w:rsid w:val="0041457A"/>
    <w:rsid w:val="00414E09"/>
    <w:rsid w:val="0042140E"/>
    <w:rsid w:val="0044235F"/>
    <w:rsid w:val="00445A5C"/>
    <w:rsid w:val="00450B11"/>
    <w:rsid w:val="00451309"/>
    <w:rsid w:val="00470E9E"/>
    <w:rsid w:val="004721C0"/>
    <w:rsid w:val="004721D0"/>
    <w:rsid w:val="00473891"/>
    <w:rsid w:val="00475FCE"/>
    <w:rsid w:val="004A28D7"/>
    <w:rsid w:val="004C522F"/>
    <w:rsid w:val="004D5E7B"/>
    <w:rsid w:val="004E2F92"/>
    <w:rsid w:val="00512843"/>
    <w:rsid w:val="0051513A"/>
    <w:rsid w:val="0051688C"/>
    <w:rsid w:val="00530181"/>
    <w:rsid w:val="00547AAC"/>
    <w:rsid w:val="00551AD2"/>
    <w:rsid w:val="00557F68"/>
    <w:rsid w:val="00570175"/>
    <w:rsid w:val="0057498D"/>
    <w:rsid w:val="005756B8"/>
    <w:rsid w:val="00587CB1"/>
    <w:rsid w:val="005B4DB0"/>
    <w:rsid w:val="005B79FA"/>
    <w:rsid w:val="005D1818"/>
    <w:rsid w:val="005F060A"/>
    <w:rsid w:val="00610FC8"/>
    <w:rsid w:val="00616A52"/>
    <w:rsid w:val="00653E2A"/>
    <w:rsid w:val="00671BAA"/>
    <w:rsid w:val="0069541A"/>
    <w:rsid w:val="006C011C"/>
    <w:rsid w:val="006D074D"/>
    <w:rsid w:val="006D3660"/>
    <w:rsid w:val="006D3C3E"/>
    <w:rsid w:val="006F0239"/>
    <w:rsid w:val="006F6E35"/>
    <w:rsid w:val="0071233E"/>
    <w:rsid w:val="0071541B"/>
    <w:rsid w:val="0074471C"/>
    <w:rsid w:val="00744EB5"/>
    <w:rsid w:val="007520D0"/>
    <w:rsid w:val="007560B8"/>
    <w:rsid w:val="00760806"/>
    <w:rsid w:val="00765DE0"/>
    <w:rsid w:val="007763E4"/>
    <w:rsid w:val="00780A06"/>
    <w:rsid w:val="007820E1"/>
    <w:rsid w:val="00785301"/>
    <w:rsid w:val="00792408"/>
    <w:rsid w:val="00793D77"/>
    <w:rsid w:val="007C0685"/>
    <w:rsid w:val="007E355B"/>
    <w:rsid w:val="007F78D6"/>
    <w:rsid w:val="0080389F"/>
    <w:rsid w:val="00813CF7"/>
    <w:rsid w:val="008164A9"/>
    <w:rsid w:val="0082707E"/>
    <w:rsid w:val="0083468A"/>
    <w:rsid w:val="008633D9"/>
    <w:rsid w:val="0087412E"/>
    <w:rsid w:val="0088205E"/>
    <w:rsid w:val="00896F1A"/>
    <w:rsid w:val="008B3087"/>
    <w:rsid w:val="008B4606"/>
    <w:rsid w:val="008B4AAF"/>
    <w:rsid w:val="009006CE"/>
    <w:rsid w:val="009109B9"/>
    <w:rsid w:val="009158D2"/>
    <w:rsid w:val="00924393"/>
    <w:rsid w:val="009255E7"/>
    <w:rsid w:val="0093444A"/>
    <w:rsid w:val="0094164F"/>
    <w:rsid w:val="00954FEB"/>
    <w:rsid w:val="00976927"/>
    <w:rsid w:val="00982BA7"/>
    <w:rsid w:val="009914D8"/>
    <w:rsid w:val="00991859"/>
    <w:rsid w:val="009A21B0"/>
    <w:rsid w:val="009E12C2"/>
    <w:rsid w:val="009E53C8"/>
    <w:rsid w:val="009F2C57"/>
    <w:rsid w:val="00A00FBD"/>
    <w:rsid w:val="00A17632"/>
    <w:rsid w:val="00A34787"/>
    <w:rsid w:val="00A63860"/>
    <w:rsid w:val="00A6749D"/>
    <w:rsid w:val="00A97832"/>
    <w:rsid w:val="00AA3DBE"/>
    <w:rsid w:val="00AA7E59"/>
    <w:rsid w:val="00AB0766"/>
    <w:rsid w:val="00AD41E9"/>
    <w:rsid w:val="00AE1595"/>
    <w:rsid w:val="00AE35AD"/>
    <w:rsid w:val="00AF281A"/>
    <w:rsid w:val="00B011C3"/>
    <w:rsid w:val="00B01F36"/>
    <w:rsid w:val="00B02500"/>
    <w:rsid w:val="00B1513B"/>
    <w:rsid w:val="00B2281F"/>
    <w:rsid w:val="00B41104"/>
    <w:rsid w:val="00B66056"/>
    <w:rsid w:val="00B75F56"/>
    <w:rsid w:val="00B825AB"/>
    <w:rsid w:val="00BA4BE2"/>
    <w:rsid w:val="00BA704C"/>
    <w:rsid w:val="00BB1E7A"/>
    <w:rsid w:val="00BD1620"/>
    <w:rsid w:val="00BE38EB"/>
    <w:rsid w:val="00BF3721"/>
    <w:rsid w:val="00BF6655"/>
    <w:rsid w:val="00BF798D"/>
    <w:rsid w:val="00C10449"/>
    <w:rsid w:val="00C1132D"/>
    <w:rsid w:val="00C32ACE"/>
    <w:rsid w:val="00C3722A"/>
    <w:rsid w:val="00C40428"/>
    <w:rsid w:val="00C41F18"/>
    <w:rsid w:val="00C56F8B"/>
    <w:rsid w:val="00C601CB"/>
    <w:rsid w:val="00C86F41"/>
    <w:rsid w:val="00C87441"/>
    <w:rsid w:val="00C93D83"/>
    <w:rsid w:val="00C9416C"/>
    <w:rsid w:val="00CA6AA9"/>
    <w:rsid w:val="00CA7AFA"/>
    <w:rsid w:val="00CC4471"/>
    <w:rsid w:val="00CF0484"/>
    <w:rsid w:val="00D01143"/>
    <w:rsid w:val="00D0651E"/>
    <w:rsid w:val="00D07287"/>
    <w:rsid w:val="00D262EA"/>
    <w:rsid w:val="00D317EA"/>
    <w:rsid w:val="00D318B2"/>
    <w:rsid w:val="00D36A64"/>
    <w:rsid w:val="00D411F2"/>
    <w:rsid w:val="00D455DD"/>
    <w:rsid w:val="00D4680B"/>
    <w:rsid w:val="00D5566F"/>
    <w:rsid w:val="00D55FB4"/>
    <w:rsid w:val="00D62ACE"/>
    <w:rsid w:val="00DA429B"/>
    <w:rsid w:val="00DA7942"/>
    <w:rsid w:val="00DB4779"/>
    <w:rsid w:val="00DF3B63"/>
    <w:rsid w:val="00E00827"/>
    <w:rsid w:val="00E1464D"/>
    <w:rsid w:val="00E25D01"/>
    <w:rsid w:val="00E278D9"/>
    <w:rsid w:val="00E37D96"/>
    <w:rsid w:val="00E54C0A"/>
    <w:rsid w:val="00E650F3"/>
    <w:rsid w:val="00E7574D"/>
    <w:rsid w:val="00E77F16"/>
    <w:rsid w:val="00E805ED"/>
    <w:rsid w:val="00EA0D09"/>
    <w:rsid w:val="00ED0646"/>
    <w:rsid w:val="00ED7438"/>
    <w:rsid w:val="00EE3D34"/>
    <w:rsid w:val="00F15FFB"/>
    <w:rsid w:val="00F21090"/>
    <w:rsid w:val="00F21504"/>
    <w:rsid w:val="00F30FD1"/>
    <w:rsid w:val="00F35FCA"/>
    <w:rsid w:val="00F41CC3"/>
    <w:rsid w:val="00F431B2"/>
    <w:rsid w:val="00F510C1"/>
    <w:rsid w:val="00F57C87"/>
    <w:rsid w:val="00F64D5B"/>
    <w:rsid w:val="00F6525A"/>
    <w:rsid w:val="00F70535"/>
    <w:rsid w:val="00F80559"/>
    <w:rsid w:val="00F851D8"/>
    <w:rsid w:val="00FA2A23"/>
    <w:rsid w:val="00FA35B8"/>
    <w:rsid w:val="00FB17BF"/>
    <w:rsid w:val="00FB4582"/>
    <w:rsid w:val="00FB4ADE"/>
    <w:rsid w:val="00FB6E2A"/>
    <w:rsid w:val="00FC667B"/>
    <w:rsid w:val="00FE1D1E"/>
    <w:rsid w:val="00FE40D0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0DD2539-7291-452D-A51F-0DDB3C98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E0082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E008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008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28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Ericsson-r3</cp:lastModifiedBy>
  <cp:revision>2</cp:revision>
  <dcterms:created xsi:type="dcterms:W3CDTF">2025-11-21T22:00:00Z</dcterms:created>
  <dcterms:modified xsi:type="dcterms:W3CDTF">2025-11-21T22:00:00Z</dcterms:modified>
</cp:coreProperties>
</file>